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CA2FB9" w:rsidRPr="003B6B67" w:rsidTr="004F500E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CA2FB9" w:rsidRPr="003B6B67" w:rsidRDefault="00CF77E9" w:rsidP="004D5831">
            <w:pPr>
              <w:pStyle w:val="EPName"/>
            </w:pPr>
            <w:r w:rsidRPr="003B6B67">
              <w:t>Parlamento europeo</w:t>
            </w:r>
          </w:p>
          <w:p w:rsidR="00CA2FB9" w:rsidRPr="003B6B67" w:rsidRDefault="00827E85" w:rsidP="00827E85">
            <w:pPr>
              <w:pStyle w:val="EPTerm"/>
              <w:rPr>
                <w:rStyle w:val="HideTWBExt"/>
                <w:noProof w:val="0"/>
                <w:vanish w:val="0"/>
                <w:color w:val="auto"/>
              </w:rPr>
            </w:pPr>
            <w:r w:rsidRPr="003B6B67">
              <w:t>2014-2019</w:t>
            </w:r>
          </w:p>
        </w:tc>
        <w:tc>
          <w:tcPr>
            <w:tcW w:w="2268" w:type="dxa"/>
            <w:shd w:val="clear" w:color="auto" w:fill="auto"/>
          </w:tcPr>
          <w:p w:rsidR="00CA2FB9" w:rsidRPr="003B6B67" w:rsidRDefault="00DA722C" w:rsidP="004D5831">
            <w:pPr>
              <w:pStyle w:val="EPLogo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1162050" cy="647700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919" w:rsidRPr="003B6B67" w:rsidRDefault="00FF0919" w:rsidP="00FF0919">
      <w:pPr>
        <w:pStyle w:val="LineTop"/>
      </w:pPr>
    </w:p>
    <w:p w:rsidR="00FF0919" w:rsidRPr="003B1731" w:rsidRDefault="00CF77E9" w:rsidP="00FF0919">
      <w:pPr>
        <w:pStyle w:val="ZSessionDoc"/>
        <w:rPr>
          <w:lang w:val="en-GB"/>
        </w:rPr>
      </w:pPr>
      <w:proofErr w:type="spellStart"/>
      <w:r w:rsidRPr="003B1731">
        <w:rPr>
          <w:lang w:val="en-GB"/>
        </w:rPr>
        <w:t>Documento</w:t>
      </w:r>
      <w:proofErr w:type="spellEnd"/>
      <w:r w:rsidRPr="003B1731">
        <w:rPr>
          <w:lang w:val="en-GB"/>
        </w:rPr>
        <w:t xml:space="preserve"> di </w:t>
      </w:r>
      <w:proofErr w:type="spellStart"/>
      <w:r w:rsidRPr="003B1731">
        <w:rPr>
          <w:lang w:val="en-GB"/>
        </w:rPr>
        <w:t>seduta</w:t>
      </w:r>
      <w:proofErr w:type="spellEnd"/>
    </w:p>
    <w:p w:rsidR="00752855" w:rsidRPr="003B1731" w:rsidRDefault="00752855" w:rsidP="00752855">
      <w:pPr>
        <w:pStyle w:val="LineBottom"/>
        <w:rPr>
          <w:lang w:val="en-GB"/>
        </w:rPr>
      </w:pPr>
    </w:p>
    <w:p w:rsidR="00DA722C" w:rsidRPr="00DA722C" w:rsidRDefault="00DA722C" w:rsidP="00DA722C">
      <w:pPr>
        <w:pStyle w:val="RefDocRC"/>
        <w:rPr>
          <w:lang w:val="en-GB"/>
        </w:rPr>
      </w:pPr>
      <w:r w:rsidRPr="00DA722C">
        <w:rPr>
          <w:rStyle w:val="HideTWBExt"/>
          <w:noProof w:val="0"/>
          <w:vanish w:val="0"/>
          <w:color w:val="auto"/>
          <w:lang w:val="en-GB"/>
        </w:rPr>
        <w:t>RC8-1276/2016</w:t>
      </w:r>
      <w:r w:rsidRPr="00DA722C">
        <w:rPr>
          <w:rStyle w:val="HideTWBExt"/>
          <w:noProof w:val="0"/>
          <w:color w:val="auto"/>
          <w:lang w:val="en-GB"/>
        </w:rPr>
        <w:t>&lt;RepeatBlock-NoDocSe&gt;</w:t>
      </w:r>
      <w:r w:rsidRPr="00DA722C">
        <w:rPr>
          <w:lang w:val="en-GB"/>
        </w:rPr>
        <w:tab/>
      </w:r>
      <w:r w:rsidRPr="00DA722C">
        <w:rPr>
          <w:rStyle w:val="HideTWBExt"/>
          <w:noProof w:val="0"/>
          <w:color w:val="auto"/>
          <w:lang w:val="en-GB"/>
        </w:rPr>
        <w:t>&lt;NoDocSe&gt;&lt;NoDocSe&gt;</w:t>
      </w:r>
    </w:p>
    <w:p w:rsidR="00DA722C" w:rsidRPr="00DA722C" w:rsidRDefault="00DA722C" w:rsidP="00DA722C">
      <w:pPr>
        <w:widowControl/>
        <w:tabs>
          <w:tab w:val="left" w:pos="-1071"/>
          <w:tab w:val="left" w:pos="-873"/>
          <w:tab w:val="left" w:pos="-453"/>
          <w:tab w:val="left" w:pos="7059"/>
          <w:tab w:val="left" w:pos="8763"/>
          <w:tab w:val="left" w:pos="9044"/>
        </w:tabs>
        <w:jc w:val="both"/>
        <w:rPr>
          <w:b/>
          <w:lang w:val="en-GB"/>
        </w:rPr>
      </w:pPr>
    </w:p>
    <w:p w:rsidR="00DA722C" w:rsidRPr="00DA722C" w:rsidRDefault="00DA722C" w:rsidP="00DA722C">
      <w:pPr>
        <w:pStyle w:val="NormalBold"/>
        <w:jc w:val="center"/>
        <w:rPr>
          <w:lang w:val="en-GB"/>
        </w:rPr>
      </w:pPr>
      <w:r w:rsidRPr="00DA722C">
        <w:rPr>
          <w:lang w:val="en-GB"/>
        </w:rPr>
        <w:t>European Parliament resolution on EU-Turkey relations, as adopted in Strasbourg on the 24th of November 2016</w:t>
      </w:r>
    </w:p>
    <w:p w:rsidR="00DA722C" w:rsidRPr="00DA722C" w:rsidRDefault="00DA722C" w:rsidP="00DA722C">
      <w:pPr>
        <w:pStyle w:val="NormalBold"/>
        <w:jc w:val="center"/>
        <w:rPr>
          <w:lang w:val="en-GB"/>
        </w:rPr>
      </w:pPr>
    </w:p>
    <w:p w:rsidR="00DA722C" w:rsidRPr="00070B51" w:rsidRDefault="00DA722C" w:rsidP="00DA722C">
      <w:pPr>
        <w:pStyle w:val="NormalBold"/>
        <w:jc w:val="center"/>
      </w:pPr>
      <w:r>
        <w:t>(ITALIAN VERSION)</w:t>
      </w:r>
    </w:p>
    <w:p w:rsidR="00DA722C" w:rsidRDefault="00DA722C" w:rsidP="00AB70B2">
      <w:pPr>
        <w:pStyle w:val="NormalBold"/>
      </w:pPr>
    </w:p>
    <w:p w:rsidR="00DA722C" w:rsidRDefault="00DA722C" w:rsidP="00AB70B2">
      <w:pPr>
        <w:pStyle w:val="NormalBold"/>
      </w:pPr>
    </w:p>
    <w:p w:rsidR="00DA722C" w:rsidRDefault="00DA722C" w:rsidP="00AB70B2">
      <w:pPr>
        <w:pStyle w:val="NormalBold"/>
      </w:pPr>
    </w:p>
    <w:p w:rsidR="00AB70B2" w:rsidRPr="003B6B67" w:rsidRDefault="009D33CF" w:rsidP="00AB70B2">
      <w:pPr>
        <w:pStyle w:val="NormalBold"/>
      </w:pPr>
      <w:r w:rsidRPr="003B6B67">
        <w:t>Risoluzione del Parlamento europeo sulle relazioni UE-Turchia</w:t>
      </w:r>
      <w:r w:rsidR="00DA722C">
        <w:t>, approvata a Strasburgo il 24 novembre 2016</w:t>
      </w:r>
    </w:p>
    <w:p w:rsidR="00AB70B2" w:rsidRPr="003B6B67" w:rsidRDefault="00CF77E9" w:rsidP="00AB70B2">
      <w:pPr>
        <w:pStyle w:val="Normal24Bold"/>
      </w:pPr>
      <w:r w:rsidRPr="003B6B67">
        <w:t>(2016/2993(RSP))</w:t>
      </w:r>
    </w:p>
    <w:p w:rsidR="009D33CF" w:rsidRPr="003B6B67" w:rsidRDefault="00CF77E9" w:rsidP="0082552A">
      <w:pPr>
        <w:pStyle w:val="Normal12"/>
      </w:pPr>
      <w:r w:rsidRPr="003B6B67">
        <w:rPr>
          <w:i/>
        </w:rPr>
        <w:t>Il Parlamento europeo</w:t>
      </w:r>
      <w:r w:rsidRPr="003B6B67">
        <w:t>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viste le sue precedenti risoluzioni, in particolare quelle del 27 ottobre 2016 sulla situazione dei giornalisti in Turchia</w:t>
      </w:r>
      <w:r w:rsidRPr="003B6B67">
        <w:rPr>
          <w:rStyle w:val="FootnoteReference"/>
        </w:rPr>
        <w:footnoteReference w:id="1"/>
      </w:r>
      <w:r w:rsidRPr="003B6B67">
        <w:t xml:space="preserve"> e del 14 aprile 2016 sulla relazione 2015 sulla Turchia</w:t>
      </w:r>
      <w:r w:rsidRPr="003B6B67">
        <w:rPr>
          <w:rStyle w:val="FootnoteReference"/>
        </w:rPr>
        <w:footnoteReference w:id="2"/>
      </w:r>
      <w:r w:rsidRPr="003B6B67">
        <w:t>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vista la relazione annuale 2016 sulla Turchia, pubblicata dalla Commissione il 9 novembre 2016 (SWD(2016)0366),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 xml:space="preserve">visto il quadro negoziale dell'UE per la Turchia del 3 ottobre 2005, 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viste le conclusioni del Consiglio del 18 luglio 2016 sulla Turchia,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visto il regolamento (UE) n. 231/2014 del Parlamento europeo e del Consiglio, dell'11 marzo 2014, che istituisce uno strumento di assistenza preadesione (IPA II)</w:t>
      </w:r>
      <w:r w:rsidRPr="003B6B67">
        <w:rPr>
          <w:rStyle w:val="FootnoteReference"/>
        </w:rPr>
        <w:footnoteReference w:id="3"/>
      </w:r>
      <w:r w:rsidRPr="003B6B67">
        <w:t xml:space="preserve">, 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visto il diritto alla libertà di espressione sancito dalla Convenzione europea dei diritti dell'uomo (CEDU) e dal Patto internazionale relativo ai diritti civili e politici (ICCPR), di cui la Turchia è parte;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visti i memorandum del Commissario per i diritti dell'uomo del Consiglio d'Europa,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–</w:t>
      </w:r>
      <w:r w:rsidRPr="003B6B67">
        <w:tab/>
        <w:t>vista la dichiarazione rilasciata il 26 luglio 2016 dal Commissario per i diritti dell'uomo del Consiglio d'Europa riguardo alle misure adottate nel contesto dello stato di emergenza in Turchia,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lastRenderedPageBreak/>
        <w:t>–</w:t>
      </w:r>
      <w:r w:rsidRPr="003B6B67">
        <w:tab/>
        <w:t>visto l'articolo 123, paragrafi 2 e 4, del suo regolamento,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A.</w:t>
      </w:r>
      <w:r w:rsidRPr="003B6B67">
        <w:tab/>
        <w:t>considerando che l'Unione europea e il Parlamento europeo hanno condannato con fermezza il colpo di Stato militare fallito in Turchia e hanno riconosciuto la competenza legittima delle autorità turche a perseguire i responsabili di questo tentativo e coloro che vi hanno preso parte;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B.</w:t>
      </w:r>
      <w:r w:rsidRPr="003B6B67">
        <w:tab/>
        <w:t>considerando che la Turchia è un partner importante e dovrebbe rispettare, in qualità di paese candidato, i massimi standard di democrazia, compreso il rispetto dei diritti umani, dello Stato di diritto, delle libertà fondamentali e del diritto universale a un processo equo; che la Turchia è membro del Consiglio d'Europa dal 1950 ed è quindi vincolato dalle disposizioni della CEDU;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C.</w:t>
      </w:r>
      <w:r w:rsidRPr="003B6B67">
        <w:tab/>
        <w:t>considerando che le misure repressive attuate dal governo turco nell'ambito dello stato di emergenza sono sproporzionate e violano i diritti e le libertà fondamentali tutelati dalla Costituzione turca, i valori democratici su cui si fonda l'Unione europea e l'ICCPR; che, dopo il tentativo di colpo di Stato, le autorità hanno arrestato 10 membri della Grande assemblea nazionale turca appartenenti al partito di opposizione HDP e circa 150 giornalisti (il numero più elevato di arresti di questo tipo a livello mondiale); che sono stati arrestati 2 386 giudici e pubblici ministeri e altre 40 000 persone e che oltre 31 000 persone si trovano tuttora in stato d'arresto; che, secondo la relazione 2016 della Commissione sulla Turchia, 129 000 dipendenti pubblici continuano a essere sospesi (66 000) o sono stati licenziati (63 000) e che contro la maggior parte di essi non è stata sinora formulata alcuna accusa;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D.</w:t>
      </w:r>
      <w:r w:rsidRPr="003B6B67">
        <w:tab/>
        <w:t xml:space="preserve">considerando che il Presidente </w:t>
      </w:r>
      <w:proofErr w:type="spellStart"/>
      <w:r w:rsidRPr="003B6B67">
        <w:t>Erdogan</w:t>
      </w:r>
      <w:proofErr w:type="spellEnd"/>
      <w:r w:rsidRPr="003B6B67">
        <w:t xml:space="preserve"> e una serie di membri del governo turco hanno rilasciato ripetute dichiarazioni sulla reintroduzione della pena di morte; che il Consiglio, nelle sue conclusioni del 18 luglio 2016 sulla Turchia, ha ricordato che l'opposizione inequivocabile alla pena di morte è un elemento essenziale dell'</w:t>
      </w:r>
      <w:proofErr w:type="spellStart"/>
      <w:r w:rsidRPr="003B6B67">
        <w:t>acquis</w:t>
      </w:r>
      <w:proofErr w:type="spellEnd"/>
      <w:r w:rsidRPr="003B6B67">
        <w:t xml:space="preserve"> dell'Unione;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E.</w:t>
      </w:r>
      <w:r w:rsidRPr="003B6B67">
        <w:tab/>
        <w:t>considerando che sono state espresse gravi preoccupazioni quanto alle condizioni di coloro che si trovano in stato di detenzione o di arresto a seguito del tentativo di colpo di Stato, nonché in merito alle forti restrizioni imposte alla libertà di espressione come pure alla stampa e ai media in Turchia;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F.</w:t>
      </w:r>
      <w:r w:rsidRPr="003B6B67">
        <w:tab/>
        <w:t>considerando che il paragrafo 5 del quadro negoziale stabilisce che, in caso di violazione grave e persistente da parte della Turchia dei principi di libertà, democrazia, rispetto dei diritti umani e delle libertà fondamentali e dello Stato di diritto su cui si fonda l'Unione, la Commissione, di sua iniziativa o su richiesta di un terzo degli Stati membri, raccomanderà di sospendere i negoziati e proporrà le condizioni per la loro eventuale ripresa;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G.</w:t>
      </w:r>
      <w:r w:rsidRPr="003B6B67">
        <w:tab/>
        <w:t xml:space="preserve">considerando che, in caso di interruzione temporanea dei negoziati, i colloqui in atto </w:t>
      </w:r>
      <w:proofErr w:type="gramStart"/>
      <w:r w:rsidRPr="003B6B67">
        <w:t>sarebbero</w:t>
      </w:r>
      <w:proofErr w:type="gramEnd"/>
      <w:r w:rsidRPr="003B6B67">
        <w:t xml:space="preserve"> sospesi, non si aprirebbero nuovi capitoli e non sarebbero avviate nuove iniziative in relazione al quadro negoziale dell'UE per la Turchia;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1.</w:t>
      </w:r>
      <w:r w:rsidRPr="003B6B67">
        <w:tab/>
        <w:t xml:space="preserve">condanna con fermezza le sproporzionate misure repressive attuate in Turchia dopo il tentativo fallito di colpo di Stato militare del luglio 2016; conferma l'impegno a mantenere la Turchia ancorata all'Unione europea; invita, tuttavia, la Commissione e gli Stati membri a procedere a una sospensione temporanea dei negoziati di adesione in corso con la Turchia; 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lastRenderedPageBreak/>
        <w:t>2.</w:t>
      </w:r>
      <w:r w:rsidRPr="003B6B67">
        <w:tab/>
        <w:t xml:space="preserve">si impegna a rivedere la propria posizione allorché saranno state revocate le sproporzionate misure adottate nel contesto dello stato di emergenza in Turchia; intende effettuare tale revisione in funzione del ripristino dello Stato di diritto e dei diritti umani in tutto il paese; ritiene che il momento opportuno per iniziare tale revisione sarebbe quello in cui verrà revocato lo stato di emergenza; 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3.</w:t>
      </w:r>
      <w:r w:rsidRPr="003B6B67">
        <w:tab/>
        <w:t xml:space="preserve">ribadisce che la reintroduzione della pena capitale da parte del governo turco dovrebbe comportare una sospensione formale del processo di adesione; </w:t>
      </w:r>
    </w:p>
    <w:p w:rsidR="00827E85" w:rsidRPr="003B6B67" w:rsidRDefault="00827E85" w:rsidP="00827E85">
      <w:pPr>
        <w:pStyle w:val="Normal12Hanging"/>
        <w:ind w:left="426" w:hanging="426"/>
      </w:pPr>
      <w:r w:rsidRPr="003B6B67">
        <w:t>4.</w:t>
      </w:r>
      <w:r w:rsidRPr="003B6B67">
        <w:tab/>
        <w:t xml:space="preserve">osserva che, allo stato attuale, la Turchia non soddisfa sette dei 72 requisiti definiti nella tabella di marcia per la liberalizzazione dei visti, alcuni dei quali rivestono particolare importanza; </w:t>
      </w:r>
    </w:p>
    <w:p w:rsidR="00827E85" w:rsidRDefault="00827E85" w:rsidP="00827E85">
      <w:pPr>
        <w:pStyle w:val="Normal12Hanging"/>
        <w:ind w:left="426" w:hanging="426"/>
      </w:pPr>
      <w:r w:rsidRPr="003B6B67">
        <w:t>5.</w:t>
      </w:r>
      <w:r w:rsidRPr="003B6B67">
        <w:tab/>
        <w:t>osserva che il miglioramento dell'unione doganale è importante per la Turchia; sottolinea che la sospensione dei lavori relativi a tale miglioramento avrà pesanti conseguenze economiche per il paese;</w:t>
      </w:r>
    </w:p>
    <w:p w:rsidR="003B1731" w:rsidRPr="003B6B67" w:rsidRDefault="003B1731" w:rsidP="00827E85">
      <w:pPr>
        <w:pStyle w:val="Normal12Hanging"/>
        <w:ind w:left="426" w:hanging="426"/>
      </w:pPr>
      <w:r>
        <w:t>6.</w:t>
      </w:r>
      <w:r>
        <w:tab/>
      </w:r>
      <w:r w:rsidRPr="003B1731">
        <w:t>esprime profonda preoccupazione per le dichiarazioni che mettono in discussione il trattato di Losanna, il quale definisce i confini della moderna Turchia e ha contribuito a salvaguardare la pace e la stabilità nella regione per quasi un secolo;</w:t>
      </w:r>
    </w:p>
    <w:p w:rsidR="00827E85" w:rsidRPr="003B6B67" w:rsidRDefault="003B1731" w:rsidP="00827E85">
      <w:pPr>
        <w:pStyle w:val="Normal12Hanging"/>
        <w:ind w:left="426" w:hanging="426"/>
      </w:pPr>
      <w:r>
        <w:t>7</w:t>
      </w:r>
      <w:r w:rsidR="00827E85" w:rsidRPr="003B6B67">
        <w:t>.</w:t>
      </w:r>
      <w:r w:rsidR="00827E85" w:rsidRPr="003B6B67">
        <w:tab/>
        <w:t>invita la Commissione a considerare anche i più recenti sviluppi avvenuti in Turchia nell'ambito della relazione sulla revisione intermedia dell'IPA, prevista per il 2017; chiede alla Commissione di valutare la possibilità di aumentare il sostegno alla società civile turca a titolo dello strumento europeo per la democrazia e i diritti umani;</w:t>
      </w:r>
    </w:p>
    <w:p w:rsidR="00827E85" w:rsidRPr="003B6B67" w:rsidRDefault="003B1731" w:rsidP="00827E85">
      <w:pPr>
        <w:pStyle w:val="Normal12Hanging"/>
        <w:ind w:left="426" w:hanging="426"/>
      </w:pPr>
      <w:r>
        <w:t>8</w:t>
      </w:r>
      <w:r w:rsidR="00827E85" w:rsidRPr="003B6B67">
        <w:t>.</w:t>
      </w:r>
      <w:r w:rsidR="00827E85" w:rsidRPr="003B6B67">
        <w:tab/>
        <w:t>incoraggia la Commissione europea, il Consiglio d'Europa e la Commissione di Venezia a offrire alle autorità turche un'assistenza giudiziaria supplementare;</w:t>
      </w:r>
    </w:p>
    <w:p w:rsidR="00827E85" w:rsidRPr="003B6B67" w:rsidRDefault="003B1731" w:rsidP="00827E85">
      <w:pPr>
        <w:pStyle w:val="Normal12Hanging"/>
        <w:ind w:left="426" w:hanging="426"/>
      </w:pPr>
      <w:r>
        <w:t>9</w:t>
      </w:r>
      <w:r w:rsidR="00827E85" w:rsidRPr="003B6B67">
        <w:t>.</w:t>
      </w:r>
      <w:r w:rsidR="00827E85" w:rsidRPr="003B6B67">
        <w:tab/>
        <w:t>evidenzia l'importanza strategica che le relazioni UE-Turchia rivestono per entrambe le parti; riconosce che, sebbene la Turchia sia un partner importante per l'UE, la volontà politica di cooperare deve provenire da entrambe le parti di un partenariato; ritiene che la Turchia non dimostri tale volontà politica, dato che le azioni del governo allontanano ulteriormente il paese dal suo percorso europeo;</w:t>
      </w:r>
    </w:p>
    <w:p w:rsidR="00827E85" w:rsidRPr="003B6B67" w:rsidRDefault="003B1731" w:rsidP="00827E85">
      <w:pPr>
        <w:pStyle w:val="Hanging12"/>
        <w:tabs>
          <w:tab w:val="clear" w:pos="357"/>
        </w:tabs>
        <w:ind w:left="426" w:hanging="426"/>
      </w:pPr>
      <w:r>
        <w:t>10</w:t>
      </w:r>
      <w:bookmarkStart w:id="0" w:name="_GoBack"/>
      <w:bookmarkEnd w:id="0"/>
      <w:r w:rsidR="00827E85" w:rsidRPr="003B6B67">
        <w:t>.</w:t>
      </w:r>
      <w:r w:rsidR="00827E85" w:rsidRPr="003B6B67">
        <w:tab/>
        <w:t xml:space="preserve">incarica il suo Presidente di trasmettere la presente risoluzione al vicepresidente della Commissione/alto rappresentante dell'Unione europea per gli affari esteri e la politica di sicurezza, al Consiglio, alla Commissione, ai governi e ai parlamenti degli Stati membri nonché al governo e al parlamento della Turchia. </w:t>
      </w:r>
    </w:p>
    <w:p w:rsidR="00827E85" w:rsidRPr="003B6B67" w:rsidRDefault="00827E85" w:rsidP="00827E85">
      <w:pPr>
        <w:pStyle w:val="Hanging12"/>
        <w:ind w:left="426" w:hanging="426"/>
      </w:pPr>
    </w:p>
    <w:p w:rsidR="009D33CF" w:rsidRPr="003B6B67" w:rsidRDefault="009D33CF" w:rsidP="00827E85">
      <w:pPr>
        <w:pStyle w:val="Hanging12"/>
      </w:pPr>
    </w:p>
    <w:sectPr w:rsidR="009D33CF" w:rsidRPr="003B6B67" w:rsidSect="00676484">
      <w:footerReference w:type="even" r:id="rId8"/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134" w:right="1418" w:bottom="1418" w:left="1418" w:header="567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E9" w:rsidRPr="003B6B67" w:rsidRDefault="00CF77E9">
      <w:r w:rsidRPr="003B6B67">
        <w:separator/>
      </w:r>
    </w:p>
  </w:endnote>
  <w:endnote w:type="continuationSeparator" w:id="0">
    <w:p w:rsidR="00CF77E9" w:rsidRPr="003B6B67" w:rsidRDefault="00CF77E9">
      <w:r w:rsidRPr="003B6B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73" w:rsidRPr="003B6B67" w:rsidRDefault="003B6B67" w:rsidP="003B6B67">
    <w:pPr>
      <w:pStyle w:val="Footer2"/>
    </w:pPr>
    <w:r w:rsidRPr="003B6B67">
      <w:t>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73" w:rsidRPr="003B6B67" w:rsidRDefault="003B6B67" w:rsidP="003B6B67">
    <w:pPr>
      <w:pStyle w:val="Footer2"/>
    </w:pPr>
    <w:r w:rsidRPr="003B6B67">
      <w:tab/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73" w:rsidRPr="003B6B67" w:rsidRDefault="003B6B67" w:rsidP="003B6B67">
    <w:pPr>
      <w:pStyle w:val="Footer2"/>
      <w:tabs>
        <w:tab w:val="center" w:pos="4535"/>
      </w:tabs>
    </w:pPr>
    <w:r w:rsidRPr="003B6B67">
      <w:t>IT</w:t>
    </w:r>
    <w:r w:rsidRPr="003B6B67">
      <w:tab/>
    </w:r>
    <w:proofErr w:type="spellStart"/>
    <w:r w:rsidRPr="003B6B67">
      <w:rPr>
        <w:b w:val="0"/>
        <w:i/>
        <w:color w:val="C0C0C0"/>
        <w:sz w:val="22"/>
      </w:rPr>
      <w:t>Unita</w:t>
    </w:r>
    <w:proofErr w:type="spellEnd"/>
    <w:r w:rsidRPr="003B6B67">
      <w:rPr>
        <w:b w:val="0"/>
        <w:i/>
        <w:color w:val="C0C0C0"/>
        <w:sz w:val="22"/>
      </w:rPr>
      <w:t xml:space="preserve"> nella diversità</w:t>
    </w:r>
    <w:r w:rsidRPr="003B6B67">
      <w:tab/>
      <w:t>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E9" w:rsidRPr="003B6B67" w:rsidRDefault="00CF77E9">
      <w:r w:rsidRPr="003B6B67">
        <w:separator/>
      </w:r>
    </w:p>
  </w:footnote>
  <w:footnote w:type="continuationSeparator" w:id="0">
    <w:p w:rsidR="00CF77E9" w:rsidRPr="003B6B67" w:rsidRDefault="00CF77E9">
      <w:r w:rsidRPr="003B6B67">
        <w:continuationSeparator/>
      </w:r>
    </w:p>
  </w:footnote>
  <w:footnote w:id="1">
    <w:p w:rsidR="00827E85" w:rsidRPr="003B6B67" w:rsidRDefault="00827E85" w:rsidP="00827E85">
      <w:pPr>
        <w:pStyle w:val="FootnoteText"/>
      </w:pPr>
      <w:r w:rsidRPr="003B6B67">
        <w:rPr>
          <w:rStyle w:val="FootnoteReference"/>
        </w:rPr>
        <w:footnoteRef/>
      </w:r>
      <w:r w:rsidRPr="003B6B67">
        <w:t xml:space="preserve"> Testi approvati, P8_TA(2016)0423.</w:t>
      </w:r>
    </w:p>
  </w:footnote>
  <w:footnote w:id="2">
    <w:p w:rsidR="00827E85" w:rsidRPr="003B6B67" w:rsidRDefault="00827E85" w:rsidP="00827E85">
      <w:pPr>
        <w:pStyle w:val="FootnoteText"/>
      </w:pPr>
      <w:r w:rsidRPr="003B6B67">
        <w:rPr>
          <w:rStyle w:val="FootnoteReference"/>
        </w:rPr>
        <w:footnoteRef/>
      </w:r>
      <w:r w:rsidRPr="003B6B67">
        <w:t xml:space="preserve"> Testi approvati, P8_TA(2016)0133.</w:t>
      </w:r>
    </w:p>
  </w:footnote>
  <w:footnote w:id="3">
    <w:p w:rsidR="00827E85" w:rsidRPr="003B6B67" w:rsidRDefault="00827E85" w:rsidP="00827E85">
      <w:pPr>
        <w:pStyle w:val="FootnoteText"/>
      </w:pPr>
      <w:r w:rsidRPr="003B6B67">
        <w:rPr>
          <w:rStyle w:val="FootnoteReference"/>
        </w:rPr>
        <w:footnoteRef/>
      </w:r>
      <w:r w:rsidRPr="003B6B67">
        <w:t xml:space="preserve"> GU L 77 del 15.3.2014, pag. 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ToNetwork" w:val="-1"/>
    <w:docVar w:name="LastEditedSection" w:val=" 1"/>
    <w:docVar w:name="NVAR1" w:val="5"/>
    <w:docVar w:name="NVAR2" w:val="5"/>
    <w:docVar w:name="RULEMNU" w:val=" 1"/>
    <w:docVar w:name="strDocTypeID" w:val="RC"/>
    <w:docVar w:name="strSubDir" w:val="1110"/>
    <w:docVar w:name="TXTLANGUE" w:val="IT"/>
    <w:docVar w:name="TXTLANGUEMIN" w:val="it"/>
    <w:docVar w:name="TXTNRB1" w:val="1276"/>
    <w:docVar w:name="TXTNRB2" w:val="1277"/>
    <w:docVar w:name="TXTNRB3" w:val="1278"/>
    <w:docVar w:name="TXTNRB4" w:val="1281"/>
    <w:docVar w:name="TXTNRB5" w:val="1282"/>
    <w:docVar w:name="TXTNRB6" w:val="1283"/>
    <w:docVar w:name="TXTNRPE1" w:val="593.710"/>
    <w:docVar w:name="TXTNRPE2" w:val="593.711"/>
    <w:docVar w:name="TXTNRPE3" w:val="593.712"/>
    <w:docVar w:name="TXTNRPE4" w:val="593.715"/>
    <w:docVar w:name="TXTNRPE5" w:val="593.716"/>
    <w:docVar w:name="TXTNRPE6" w:val="593.717"/>
    <w:docVar w:name="TXTNRRSP" w:val="2016/2993"/>
    <w:docVar w:name="TXTPEorAP" w:val="PE"/>
    <w:docVar w:name="TXTROUTE" w:val="RC\1110573IT.docx"/>
    <w:docVar w:name="TXTTITLE" w:val="on EU-Turkey relations"/>
    <w:docVar w:name="TXTVERSION1" w:val="01-00"/>
    <w:docVar w:name="TXTVERSION2" w:val="01-00"/>
    <w:docVar w:name="TXTVERSION3" w:val="01-00"/>
    <w:docVar w:name="TXTVERSION4" w:val="01-00"/>
    <w:docVar w:name="TXTVERSION5" w:val="01-00"/>
    <w:docVar w:name="TXTVERSION6" w:val="01-00"/>
  </w:docVars>
  <w:rsids>
    <w:rsidRoot w:val="00CF77E9"/>
    <w:rsid w:val="00005903"/>
    <w:rsid w:val="0001465F"/>
    <w:rsid w:val="0008467F"/>
    <w:rsid w:val="00177088"/>
    <w:rsid w:val="001816C4"/>
    <w:rsid w:val="00184B3E"/>
    <w:rsid w:val="002439D4"/>
    <w:rsid w:val="00250797"/>
    <w:rsid w:val="002C4BC5"/>
    <w:rsid w:val="002E2D08"/>
    <w:rsid w:val="00335275"/>
    <w:rsid w:val="003441B1"/>
    <w:rsid w:val="003957F5"/>
    <w:rsid w:val="003B03C1"/>
    <w:rsid w:val="003B1731"/>
    <w:rsid w:val="003B6B67"/>
    <w:rsid w:val="004D5831"/>
    <w:rsid w:val="004E13DA"/>
    <w:rsid w:val="004F500E"/>
    <w:rsid w:val="00503B5F"/>
    <w:rsid w:val="005234F1"/>
    <w:rsid w:val="00532929"/>
    <w:rsid w:val="005B55C9"/>
    <w:rsid w:val="00626D73"/>
    <w:rsid w:val="00676484"/>
    <w:rsid w:val="00752855"/>
    <w:rsid w:val="007C394B"/>
    <w:rsid w:val="0082552A"/>
    <w:rsid w:val="00827E85"/>
    <w:rsid w:val="00905E62"/>
    <w:rsid w:val="009219DC"/>
    <w:rsid w:val="00967F3D"/>
    <w:rsid w:val="009D33CF"/>
    <w:rsid w:val="00A30C33"/>
    <w:rsid w:val="00A72F04"/>
    <w:rsid w:val="00AB70B2"/>
    <w:rsid w:val="00AC6FCA"/>
    <w:rsid w:val="00B47668"/>
    <w:rsid w:val="00B602BC"/>
    <w:rsid w:val="00B60CAC"/>
    <w:rsid w:val="00C81F23"/>
    <w:rsid w:val="00CA2FB9"/>
    <w:rsid w:val="00CB6B3F"/>
    <w:rsid w:val="00CF77E9"/>
    <w:rsid w:val="00D57C45"/>
    <w:rsid w:val="00DA722C"/>
    <w:rsid w:val="00EC024A"/>
    <w:rsid w:val="00EE021D"/>
    <w:rsid w:val="00F849BF"/>
    <w:rsid w:val="00F92249"/>
    <w:rsid w:val="00F95D39"/>
    <w:rsid w:val="00FE53F4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57FF2-7E14-4E8D-8329-C919886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styleId="Footer">
    <w:name w:val="footer"/>
    <w:basedOn w:val="Normal12a12b"/>
    <w:pPr>
      <w:tabs>
        <w:tab w:val="left" w:pos="6661"/>
      </w:tabs>
      <w:spacing w:before="0" w:after="0"/>
    </w:pPr>
    <w:rPr>
      <w:sz w:val="22"/>
    </w:rPr>
  </w:style>
  <w:style w:type="paragraph" w:customStyle="1" w:styleId="Normal12a12b">
    <w:name w:val="Normal12a12b"/>
    <w:basedOn w:val="Normal"/>
    <w:pPr>
      <w:spacing w:before="240" w:after="240"/>
    </w:pPr>
  </w:style>
  <w:style w:type="paragraph" w:customStyle="1" w:styleId="Normal24">
    <w:name w:val="Normal24"/>
    <w:basedOn w:val="Normal"/>
    <w:pPr>
      <w:spacing w:after="480"/>
    </w:pPr>
  </w:style>
  <w:style w:type="paragraph" w:customStyle="1" w:styleId="Footer2">
    <w:name w:val="Footer2"/>
    <w:basedOn w:val="Normal"/>
    <w:pPr>
      <w:widowControl/>
      <w:tabs>
        <w:tab w:val="right" w:pos="9921"/>
      </w:tabs>
      <w:spacing w:after="240"/>
      <w:ind w:left="-850" w:right="-850"/>
    </w:pPr>
    <w:rPr>
      <w:rFonts w:ascii="Arial" w:hAnsi="Arial" w:cs="Arial"/>
      <w:b/>
      <w:sz w:val="48"/>
    </w:rPr>
  </w:style>
  <w:style w:type="paragraph" w:customStyle="1" w:styleId="Normal12">
    <w:name w:val="Normal12"/>
    <w:basedOn w:val="Normal"/>
    <w:pPr>
      <w:spacing w:after="240"/>
    </w:pPr>
  </w:style>
  <w:style w:type="paragraph" w:styleId="TOC1">
    <w:name w:val="toc 1"/>
    <w:basedOn w:val="Normal12"/>
    <w:next w:val="Normal12"/>
    <w:autoRedefine/>
    <w:semiHidden/>
  </w:style>
  <w:style w:type="paragraph" w:styleId="TOCHeading">
    <w:name w:val="TOC Heading"/>
    <w:basedOn w:val="Normal12"/>
    <w:next w:val="Normal12"/>
    <w:qFormat/>
    <w:pPr>
      <w:keepNext/>
      <w:spacing w:before="240"/>
      <w:jc w:val="center"/>
    </w:pPr>
    <w:rPr>
      <w:rFonts w:ascii="Arial" w:hAnsi="Arial"/>
      <w:b/>
    </w:rPr>
  </w:style>
  <w:style w:type="paragraph" w:customStyle="1" w:styleId="TOCPage">
    <w:name w:val="TOC Page"/>
    <w:basedOn w:val="Normal12"/>
    <w:next w:val="TOC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al"/>
    <w:link w:val="CoverNormalChar"/>
    <w:pPr>
      <w:ind w:left="1418"/>
    </w:pPr>
  </w:style>
  <w:style w:type="character" w:customStyle="1" w:styleId="CoverNormalChar">
    <w:name w:val="CoverNormal Char"/>
    <w:link w:val="CoverNormal"/>
    <w:rsid w:val="002439D4"/>
    <w:rPr>
      <w:sz w:val="24"/>
      <w:lang w:val="it-IT" w:eastAsia="it-IT" w:bidi="it-IT"/>
    </w:rPr>
  </w:style>
  <w:style w:type="paragraph" w:customStyle="1" w:styleId="Hanging12">
    <w:name w:val="Hanging12"/>
    <w:basedOn w:val="Normal12"/>
    <w:pPr>
      <w:tabs>
        <w:tab w:val="left" w:pos="357"/>
      </w:tabs>
      <w:ind w:left="357" w:hanging="357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pPr>
      <w:tabs>
        <w:tab w:val="left" w:pos="357"/>
      </w:tabs>
    </w:pPr>
  </w:style>
  <w:style w:type="paragraph" w:customStyle="1" w:styleId="NormalCentre">
    <w:name w:val="NormalCentre"/>
    <w:basedOn w:val="Normal"/>
    <w:pPr>
      <w:jc w:val="center"/>
    </w:pPr>
  </w:style>
  <w:style w:type="paragraph" w:customStyle="1" w:styleId="NormalKeep">
    <w:name w:val="NormalKeep"/>
    <w:basedOn w:val="Normal"/>
    <w:pPr>
      <w:keepNext/>
    </w:pPr>
  </w:style>
  <w:style w:type="paragraph" w:customStyle="1" w:styleId="TypeDocRC">
    <w:name w:val="TypeDocRC"/>
    <w:basedOn w:val="Normal24"/>
    <w:rsid w:val="00F92249"/>
    <w:pPr>
      <w:spacing w:before="360" w:after="36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fDocRC">
    <w:name w:val="RefDocRC"/>
    <w:basedOn w:val="Normal"/>
    <w:next w:val="Normal"/>
    <w:rsid w:val="00D57C45"/>
    <w:pPr>
      <w:widowControl/>
      <w:tabs>
        <w:tab w:val="left" w:pos="-1071"/>
        <w:tab w:val="left" w:pos="-873"/>
        <w:tab w:val="left" w:pos="-453"/>
        <w:tab w:val="left" w:pos="6804"/>
        <w:tab w:val="left" w:pos="8763"/>
        <w:tab w:val="left" w:pos="9046"/>
      </w:tabs>
      <w:jc w:val="both"/>
    </w:pPr>
    <w:rPr>
      <w:b/>
    </w:rPr>
  </w:style>
  <w:style w:type="table" w:styleId="TableGrid">
    <w:name w:val="Table Grid"/>
    <w:basedOn w:val="TableNormal"/>
    <w:rsid w:val="0075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rsid w:val="00752855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ZSessionDoc"/>
    <w:rsid w:val="00752855"/>
    <w:pPr>
      <w:pBdr>
        <w:top w:val="single" w:sz="4" w:space="1" w:color="auto"/>
      </w:pBdr>
      <w:jc w:val="center"/>
    </w:pPr>
    <w:rPr>
      <w:rFonts w:ascii="Arial" w:hAnsi="Arial"/>
      <w:sz w:val="16"/>
      <w:szCs w:val="16"/>
    </w:rPr>
  </w:style>
  <w:style w:type="paragraph" w:customStyle="1" w:styleId="LineBottom">
    <w:name w:val="LineBottom"/>
    <w:basedOn w:val="Normal"/>
    <w:next w:val="Normal"/>
    <w:rsid w:val="00752855"/>
    <w:pPr>
      <w:pBdr>
        <w:bottom w:val="single" w:sz="4" w:space="1" w:color="auto"/>
      </w:pBdr>
      <w:spacing w:after="480"/>
      <w:jc w:val="center"/>
    </w:pPr>
    <w:rPr>
      <w:rFonts w:ascii="Arial" w:hAnsi="Arial"/>
      <w:sz w:val="16"/>
      <w:szCs w:val="16"/>
    </w:rPr>
  </w:style>
  <w:style w:type="paragraph" w:customStyle="1" w:styleId="CoverBold">
    <w:name w:val="CoverBold"/>
    <w:basedOn w:val="CoverNormal"/>
    <w:rsid w:val="00177088"/>
    <w:rPr>
      <w:b/>
    </w:rPr>
  </w:style>
  <w:style w:type="paragraph" w:customStyle="1" w:styleId="Normal36">
    <w:name w:val="Normal36"/>
    <w:basedOn w:val="Normal"/>
    <w:rsid w:val="0082552A"/>
    <w:pPr>
      <w:spacing w:after="720"/>
    </w:pPr>
  </w:style>
  <w:style w:type="paragraph" w:customStyle="1" w:styleId="Normal24Bold">
    <w:name w:val="Normal24Bold"/>
    <w:basedOn w:val="Normal"/>
    <w:rsid w:val="00AB70B2"/>
    <w:pPr>
      <w:spacing w:after="480"/>
    </w:pPr>
    <w:rPr>
      <w:b/>
    </w:rPr>
  </w:style>
  <w:style w:type="paragraph" w:customStyle="1" w:styleId="EPName">
    <w:name w:val="EPName"/>
    <w:basedOn w:val="Normal"/>
    <w:link w:val="EPNameChar"/>
    <w:rsid w:val="00CA2FB9"/>
    <w:pPr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EPTerm">
    <w:name w:val="EPTerm"/>
    <w:basedOn w:val="Normal"/>
    <w:next w:val="Normal"/>
    <w:rsid w:val="00CA2FB9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CA2FB9"/>
    <w:pPr>
      <w:jc w:val="right"/>
    </w:pPr>
  </w:style>
  <w:style w:type="paragraph" w:customStyle="1" w:styleId="DateRC">
    <w:name w:val="DateRC"/>
    <w:basedOn w:val="Normal"/>
    <w:qFormat/>
    <w:rsid w:val="00F849BF"/>
  </w:style>
  <w:style w:type="paragraph" w:customStyle="1" w:styleId="Normal12Hanging">
    <w:name w:val="Normal12Hanging"/>
    <w:basedOn w:val="Normal"/>
    <w:rsid w:val="00827E85"/>
    <w:pPr>
      <w:spacing w:after="240"/>
      <w:ind w:left="567" w:hanging="567"/>
    </w:pPr>
  </w:style>
  <w:style w:type="paragraph" w:styleId="FootnoteText">
    <w:name w:val="footnote text"/>
    <w:basedOn w:val="Normal"/>
    <w:link w:val="FootnoteTextChar"/>
    <w:rsid w:val="00827E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7E85"/>
    <w:rPr>
      <w:lang w:bidi="it-IT"/>
    </w:rPr>
  </w:style>
  <w:style w:type="character" w:styleId="FootnoteReference">
    <w:name w:val="footnote reference"/>
    <w:rsid w:val="00827E85"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FooterMultPE">
    <w:name w:val="FooterMultPE"/>
    <w:basedOn w:val="EPName"/>
    <w:link w:val="FooterMultPEChar"/>
    <w:rsid w:val="003B6B67"/>
  </w:style>
  <w:style w:type="character" w:customStyle="1" w:styleId="EPNameChar">
    <w:name w:val="EPName Char"/>
    <w:basedOn w:val="DefaultParagraphFont"/>
    <w:link w:val="EPName"/>
    <w:rsid w:val="003B6B67"/>
    <w:rPr>
      <w:rFonts w:ascii="Arial Narrow" w:hAnsi="Arial Narrow" w:cs="Arial"/>
      <w:b/>
      <w:color w:val="000000"/>
      <w:sz w:val="32"/>
      <w:szCs w:val="22"/>
    </w:rPr>
  </w:style>
  <w:style w:type="character" w:customStyle="1" w:styleId="FooterMultPEChar">
    <w:name w:val="FooterMultPE Char"/>
    <w:basedOn w:val="EPNameChar"/>
    <w:link w:val="FooterMultPE"/>
    <w:rsid w:val="003B6B67"/>
    <w:rPr>
      <w:rFonts w:ascii="Arial Narrow" w:hAnsi="Arial Narrow" w:cs="Arial"/>
      <w:b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F274DEE7</Template>
  <TotalTime>0</TotalTime>
  <Pages>3</Pages>
  <Words>1100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</vt:lpstr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</dc:title>
  <dc:subject/>
  <dc:creator>GROSSI Daniela</dc:creator>
  <cp:keywords/>
  <dc:description/>
  <cp:lastModifiedBy>SQUARCINA Stefano</cp:lastModifiedBy>
  <cp:revision>3</cp:revision>
  <cp:lastPrinted>2004-12-08T14:10:00Z</cp:lastPrinted>
  <dcterms:created xsi:type="dcterms:W3CDTF">2016-11-24T09:11:00Z</dcterms:created>
  <dcterms:modified xsi:type="dcterms:W3CDTF">2016-11-24T11:43:00Z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8.5.0 Build [20151002]</vt:lpwstr>
  </property>
  <property fmtid="{D5CDD505-2E9C-101B-9397-08002B2CF9AE}" pid="3" name="LastEdited with">
    <vt:lpwstr>8.5.0 Build [20151002]</vt:lpwstr>
  </property>
  <property fmtid="{D5CDD505-2E9C-101B-9397-08002B2CF9AE}" pid="4" name="&lt;FdR&gt;">
    <vt:lpwstr>1110573</vt:lpwstr>
  </property>
  <property fmtid="{D5CDD505-2E9C-101B-9397-08002B2CF9AE}" pid="5" name="&lt;Type&gt;">
    <vt:lpwstr>RC</vt:lpwstr>
  </property>
  <property fmtid="{D5CDD505-2E9C-101B-9397-08002B2CF9AE}" pid="6" name="&lt;ModelCod&gt;">
    <vt:lpwstr>\\eiciLUXpr1\pdocep$\DocEP\DOCS\General\RC\RC.dot(17/02/2016 10:46:24)</vt:lpwstr>
  </property>
  <property fmtid="{D5CDD505-2E9C-101B-9397-08002B2CF9AE}" pid="7" name="&lt;ModelTra&gt;">
    <vt:lpwstr>\\eiciLUXpr1\pdocep$\DocEP\TRANSFIL\IT\RC.IT(21/09/2015 06:31:23)</vt:lpwstr>
  </property>
  <property fmtid="{D5CDD505-2E9C-101B-9397-08002B2CF9AE}" pid="8" name="&lt;Model&gt;">
    <vt:lpwstr>RC</vt:lpwstr>
  </property>
  <property fmtid="{D5CDD505-2E9C-101B-9397-08002B2CF9AE}" pid="9" name="FooterPath">
    <vt:lpwstr>RC\1110573IT.docx</vt:lpwstr>
  </property>
  <property fmtid="{D5CDD505-2E9C-101B-9397-08002B2CF9AE}" pid="10" name="Bookout">
    <vt:lpwstr>OK - 2016/11/23 19:56</vt:lpwstr>
  </property>
  <property fmtid="{D5CDD505-2E9C-101B-9397-08002B2CF9AE}" pid="11" name="SDLStudio">
    <vt:lpwstr/>
  </property>
  <property fmtid="{D5CDD505-2E9C-101B-9397-08002B2CF9AE}" pid="12" name="&lt;Extension&gt;">
    <vt:lpwstr>IT</vt:lpwstr>
  </property>
</Properties>
</file>